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566988" cy="4196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4196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ACTA DE CIERRE DE INSCRIPCIÓN A CONCURSO CERRADO PARA CUBRIR, CON PERSONAL NODOCENTE,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PUESTO EN LA ESTRUCTURA ORGANIZATIVA DEL SISTEMA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GESTIÓN.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7573/19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aprobación de contenido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llamado y de propuesta de nómina de jurado)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siendo las 12 hs, en la sede Campus de la Universidad Nacional de General Sarmiento, sita en la calle J.M. Gutiérrez 1150, Los Polvorines, Provincia de Buenos Aires, y habiendo dado cumplimiento a los procedimientos establecidos en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(CS)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7572/19,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 de conformidad a Ley de Procedimientos Administrativos Nº 19549 y su Decreto Reglamentario Nº 1759/72, se da por finalizada la inscripción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concurso cerrado no docente convocado por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Resolución (CS) Nº 7573/19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 aprobación de contenidos de los llamados y de propuesta de nómina de jurado y se labra la presente acta de inscriptos registrados, conforme con el detalle que se adjunta 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7K7dSTkIxHgNgMRVlcfQYKGgQ==">AMUW2mVGxNhKlS2HcK8TYwEpdnoKxf4xshoV830AVw9CCdphdCvS5XCo/dorjQOXF6sd9SomC1QVyapbUYqrxqIU2A9qsFiEAm72ALyZs/FIXEv5G/Fhf88=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